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03" w:rsidRPr="0015655E" w:rsidRDefault="00B63B03" w:rsidP="00B63B03">
      <w:pPr>
        <w:jc w:val="right"/>
        <w:rPr>
          <w:rFonts w:ascii="Times New Roman" w:hAnsi="Times New Roman" w:cs="Times New Roman"/>
          <w:b/>
          <w:bCs/>
          <w:sz w:val="20"/>
          <w:szCs w:val="20"/>
        </w:rPr>
      </w:pPr>
      <w:r w:rsidRPr="0015655E">
        <w:rPr>
          <w:rFonts w:ascii="Times New Roman" w:hAnsi="Times New Roman" w:cs="Times New Roman"/>
          <w:b/>
          <w:bCs/>
          <w:sz w:val="20"/>
          <w:szCs w:val="20"/>
        </w:rPr>
        <w:t xml:space="preserve">Приложение № 11   </w:t>
      </w:r>
    </w:p>
    <w:p w:rsidR="00B63B03" w:rsidRPr="0015655E" w:rsidRDefault="00B63B03" w:rsidP="00B63B03">
      <w:pPr>
        <w:tabs>
          <w:tab w:val="left" w:pos="540"/>
        </w:tabs>
        <w:ind w:left="426"/>
        <w:jc w:val="right"/>
        <w:rPr>
          <w:rFonts w:ascii="Times New Roman" w:hAnsi="Times New Roman" w:cs="Times New Roman"/>
          <w:b/>
          <w:sz w:val="20"/>
          <w:szCs w:val="20"/>
        </w:rPr>
      </w:pPr>
      <w:r w:rsidRPr="0015655E">
        <w:rPr>
          <w:rFonts w:ascii="Times New Roman" w:hAnsi="Times New Roman" w:cs="Times New Roman"/>
          <w:b/>
          <w:sz w:val="20"/>
          <w:szCs w:val="20"/>
        </w:rPr>
        <w:t xml:space="preserve">к Инструкции об этапах, </w:t>
      </w:r>
    </w:p>
    <w:p w:rsidR="00B63B03" w:rsidRPr="0015655E" w:rsidRDefault="00B63B03" w:rsidP="00B63B03">
      <w:pPr>
        <w:tabs>
          <w:tab w:val="left" w:pos="540"/>
        </w:tabs>
        <w:ind w:left="426"/>
        <w:jc w:val="right"/>
        <w:rPr>
          <w:rFonts w:ascii="Times New Roman" w:hAnsi="Times New Roman" w:cs="Times New Roman"/>
          <w:b/>
          <w:sz w:val="20"/>
          <w:szCs w:val="20"/>
        </w:rPr>
      </w:pPr>
      <w:proofErr w:type="gramStart"/>
      <w:r w:rsidRPr="0015655E">
        <w:rPr>
          <w:rFonts w:ascii="Times New Roman" w:hAnsi="Times New Roman" w:cs="Times New Roman"/>
          <w:b/>
          <w:sz w:val="20"/>
          <w:szCs w:val="20"/>
        </w:rPr>
        <w:t>сроках</w:t>
      </w:r>
      <w:proofErr w:type="gramEnd"/>
      <w:r w:rsidRPr="0015655E">
        <w:rPr>
          <w:rFonts w:ascii="Times New Roman" w:hAnsi="Times New Roman" w:cs="Times New Roman"/>
          <w:b/>
          <w:sz w:val="20"/>
          <w:szCs w:val="20"/>
        </w:rPr>
        <w:t xml:space="preserve">, порядке и процедурах </w:t>
      </w:r>
    </w:p>
    <w:p w:rsidR="00B63B03" w:rsidRPr="0015655E" w:rsidRDefault="00B63B03" w:rsidP="00B63B03">
      <w:pPr>
        <w:jc w:val="right"/>
        <w:rPr>
          <w:rFonts w:ascii="Times New Roman" w:hAnsi="Times New Roman" w:cs="Times New Roman"/>
          <w:b/>
          <w:bCs/>
          <w:sz w:val="20"/>
          <w:szCs w:val="20"/>
        </w:rPr>
      </w:pPr>
      <w:r w:rsidRPr="0015655E">
        <w:rPr>
          <w:rFonts w:ascii="Times New Roman" w:hAnsi="Times New Roman"/>
          <w:b/>
          <w:sz w:val="20"/>
          <w:szCs w:val="20"/>
        </w:rPr>
        <w:t>регистрации ценных бумаг</w:t>
      </w:r>
      <w:r w:rsidRPr="0015655E">
        <w:rPr>
          <w:rFonts w:ascii="Times New Roman" w:hAnsi="Times New Roman" w:cs="Times New Roman"/>
          <w:b/>
          <w:bCs/>
          <w:sz w:val="20"/>
          <w:szCs w:val="20"/>
        </w:rPr>
        <w:t xml:space="preserve"> </w:t>
      </w:r>
    </w:p>
    <w:p w:rsidR="00B63B03" w:rsidRPr="0015655E" w:rsidRDefault="00B63B03" w:rsidP="00B63B03">
      <w:pPr>
        <w:pStyle w:val="NoSpacing"/>
        <w:jc w:val="right"/>
        <w:rPr>
          <w:rFonts w:ascii="Times New Roman" w:hAnsi="Times New Roman"/>
          <w:b/>
          <w:bCs/>
          <w:sz w:val="24"/>
          <w:szCs w:val="24"/>
        </w:rPr>
      </w:pPr>
    </w:p>
    <w:p w:rsidR="00B63B03" w:rsidRPr="0015655E" w:rsidRDefault="00B63B03" w:rsidP="00B63B03">
      <w:pPr>
        <w:pStyle w:val="NoSpacing"/>
        <w:jc w:val="both"/>
        <w:rPr>
          <w:rFonts w:ascii="Times New Roman" w:hAnsi="Times New Roman"/>
          <w:b/>
          <w:bCs/>
        </w:rPr>
      </w:pPr>
    </w:p>
    <w:p w:rsidR="00B63B03" w:rsidRPr="0015655E" w:rsidRDefault="00B63B03" w:rsidP="00B63B03">
      <w:pPr>
        <w:pStyle w:val="NoSpacing"/>
        <w:jc w:val="center"/>
        <w:rPr>
          <w:rFonts w:ascii="Times New Roman" w:hAnsi="Times New Roman"/>
          <w:b/>
          <w:sz w:val="28"/>
          <w:szCs w:val="28"/>
        </w:rPr>
      </w:pPr>
      <w:r w:rsidRPr="0015655E">
        <w:rPr>
          <w:rFonts w:ascii="Times New Roman" w:hAnsi="Times New Roman"/>
          <w:b/>
          <w:sz w:val="28"/>
          <w:szCs w:val="28"/>
        </w:rPr>
        <w:t>Минимальная информация, которая должна содержаться в примечаниях о ценных бумагах в рамках предложения облигаций, единая номинальная стоимость которых менее эквивалента 50 000 евро в леях</w:t>
      </w:r>
    </w:p>
    <w:p w:rsidR="00B63B03" w:rsidRPr="0015655E" w:rsidRDefault="00B63B03" w:rsidP="00B63B03">
      <w:pPr>
        <w:pStyle w:val="NoSpacing"/>
        <w:jc w:val="both"/>
        <w:rPr>
          <w:rFonts w:ascii="Times New Roman" w:hAnsi="Times New Roman"/>
          <w:b/>
          <w:bCs/>
          <w:sz w:val="28"/>
          <w:szCs w:val="28"/>
        </w:rPr>
      </w:pPr>
    </w:p>
    <w:tbl>
      <w:tblPr>
        <w:tblW w:w="5338" w:type="pct"/>
        <w:tblInd w:w="-534"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599"/>
        <w:gridCol w:w="9086"/>
      </w:tblGrid>
      <w:tr w:rsidR="00B63B03"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jc w:val="center"/>
              <w:rPr>
                <w:rFonts w:ascii="Times New Roman" w:hAnsi="Times New Roman"/>
                <w:sz w:val="28"/>
                <w:szCs w:val="28"/>
              </w:rPr>
            </w:pPr>
            <w:r w:rsidRPr="0015655E">
              <w:rPr>
                <w:rFonts w:ascii="Times New Roman" w:hAnsi="Times New Roman"/>
                <w:b/>
                <w:bCs/>
                <w:sz w:val="28"/>
                <w:szCs w:val="28"/>
              </w:rPr>
              <w:t xml:space="preserve">1. ОТВЕТСТВЕННЫЕ ЛИЦА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Указать все лица, ответственные за включенные в примечания о ценных бумагах (далее – примечания) сведения, и, в зависимости от случая, лица, ответственные только за его определенные части, с соответствующими уточнениями. В случае физических лиц, включая членов органов управления эмитента (исполнительный орган, совет общества, ревизионная комиссия), указать их фамилию, имя и должность; в случае юридических лиц - наименование, IDNO и юридический адрес.</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proofErr w:type="gramStart"/>
            <w:r w:rsidRPr="0015655E">
              <w:rPr>
                <w:rFonts w:ascii="Times New Roman" w:hAnsi="Times New Roman"/>
                <w:sz w:val="28"/>
                <w:szCs w:val="28"/>
              </w:rPr>
              <w:t>Декларация лиц, ответственных за составление примечаний, и, в зависимости от случая, декларация лиц, ответственных только за определенные части данного документа, о том, что после принятия всех разумных мер в этих целях, информация, включенная в примечания/часть примечаний (уточнить), по их сведениям, соответствует действительности и в нем не умалчивается информация, которая могла бы существенно повлиять на содержание документа.</w:t>
            </w:r>
            <w:proofErr w:type="gramEnd"/>
          </w:p>
        </w:tc>
      </w:tr>
      <w:tr w:rsidR="00B63B03"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center"/>
              <w:rPr>
                <w:rFonts w:ascii="Times New Roman" w:hAnsi="Times New Roman"/>
                <w:sz w:val="28"/>
                <w:szCs w:val="28"/>
              </w:rPr>
            </w:pPr>
            <w:r w:rsidRPr="0015655E">
              <w:rPr>
                <w:rFonts w:ascii="Times New Roman" w:hAnsi="Times New Roman"/>
                <w:b/>
                <w:bCs/>
                <w:sz w:val="28"/>
                <w:szCs w:val="28"/>
              </w:rPr>
              <w:t>2. ФАКТОРЫ РИСКА</w:t>
            </w:r>
            <w:r w:rsidRPr="0015655E">
              <w:rPr>
                <w:rFonts w:ascii="Times New Roman" w:hAnsi="Times New Roman"/>
                <w:b/>
                <w:sz w:val="28"/>
                <w:szCs w:val="28"/>
              </w:rPr>
              <w:t xml:space="preserve">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b/>
                <w:sz w:val="28"/>
                <w:szCs w:val="28"/>
              </w:rPr>
            </w:pP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Указать факторы риска, имеющие существенное влияние на предлагаемые и допущенные к торгам ценные бумаги, для оценки рыночного риска определяемого соответствующими ценными бумагами.</w:t>
            </w:r>
          </w:p>
        </w:tc>
      </w:tr>
      <w:tr w:rsidR="00B63B03"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center"/>
              <w:rPr>
                <w:rFonts w:ascii="Times New Roman" w:hAnsi="Times New Roman"/>
                <w:sz w:val="28"/>
                <w:szCs w:val="28"/>
              </w:rPr>
            </w:pPr>
            <w:r w:rsidRPr="0015655E">
              <w:rPr>
                <w:rFonts w:ascii="Times New Roman" w:hAnsi="Times New Roman"/>
                <w:b/>
                <w:bCs/>
                <w:sz w:val="28"/>
                <w:szCs w:val="28"/>
              </w:rPr>
              <w:t xml:space="preserve">3. </w:t>
            </w:r>
            <w:r w:rsidRPr="0015655E">
              <w:rPr>
                <w:rFonts w:ascii="Times New Roman" w:hAnsi="Times New Roman"/>
                <w:b/>
                <w:sz w:val="28"/>
                <w:szCs w:val="28"/>
              </w:rPr>
              <w:t>ОСНОВНАЯ ИНФОРМАЦИЯ</w:t>
            </w:r>
            <w:r w:rsidRPr="0015655E">
              <w:rPr>
                <w:rFonts w:ascii="Times New Roman" w:hAnsi="Times New Roman"/>
                <w:b/>
                <w:bCs/>
                <w:sz w:val="28"/>
                <w:szCs w:val="28"/>
              </w:rPr>
              <w:t xml:space="preserve">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4"/>
              <w:rPr>
                <w:rFonts w:ascii="Times New Roman" w:hAnsi="Times New Roman"/>
                <w:sz w:val="28"/>
                <w:szCs w:val="28"/>
                <w:u w:val="single"/>
              </w:rPr>
            </w:pPr>
            <w:r w:rsidRPr="0015655E">
              <w:rPr>
                <w:rFonts w:ascii="Times New Roman" w:hAnsi="Times New Roman"/>
                <w:b/>
                <w:bCs/>
                <w:sz w:val="28"/>
                <w:szCs w:val="28"/>
                <w:u w:val="single"/>
              </w:rPr>
              <w:t xml:space="preserve">Интересы физических и юридических лиц, участвующих в эмиссии/предложении </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Описание всех интересов, в том числе конфликтных, которые могли бы существенно повлиять на эмиссию/предложение, с указанием каждого вовлеченного лица и характера интереса.</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4"/>
              <w:rPr>
                <w:rFonts w:ascii="Times New Roman" w:hAnsi="Times New Roman"/>
                <w:sz w:val="28"/>
                <w:szCs w:val="28"/>
                <w:u w:val="single"/>
              </w:rPr>
            </w:pPr>
            <w:r w:rsidRPr="0015655E">
              <w:rPr>
                <w:rFonts w:ascii="Times New Roman" w:hAnsi="Times New Roman"/>
                <w:b/>
                <w:bCs/>
                <w:sz w:val="28"/>
                <w:szCs w:val="28"/>
                <w:u w:val="single"/>
              </w:rPr>
              <w:t>Причины предложения и использование фондов</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Причины предложения, </w:t>
            </w:r>
            <w:proofErr w:type="gramStart"/>
            <w:r w:rsidRPr="0015655E">
              <w:rPr>
                <w:rFonts w:ascii="Times New Roman" w:hAnsi="Times New Roman"/>
                <w:sz w:val="28"/>
                <w:szCs w:val="28"/>
              </w:rPr>
              <w:t>иные</w:t>
            </w:r>
            <w:proofErr w:type="gramEnd"/>
            <w:r w:rsidRPr="0015655E">
              <w:rPr>
                <w:rFonts w:ascii="Times New Roman" w:hAnsi="Times New Roman"/>
                <w:sz w:val="28"/>
                <w:szCs w:val="28"/>
              </w:rPr>
              <w:t xml:space="preserve"> чем получение выгоды и покрытие некоторых рисков. В зависимости от случая, указать прогнозную общую себестоимость эмиссии/предложения и прогнозный чистый размер полученных фондов. Себестоимость и полученные фонды распределяются по основным предусмотренным использованиям, в убывающем порядке согласно приоритетности. Если эмитент считает, что прогнозные фонды не будут достаточными для финансирования всех </w:t>
            </w:r>
            <w:r w:rsidRPr="0015655E">
              <w:rPr>
                <w:rFonts w:ascii="Times New Roman" w:hAnsi="Times New Roman"/>
                <w:sz w:val="28"/>
                <w:szCs w:val="28"/>
              </w:rPr>
              <w:lastRenderedPageBreak/>
              <w:t xml:space="preserve">поставленных целей, указать источник и размер необходимых дополнительных фондов. </w:t>
            </w:r>
          </w:p>
        </w:tc>
      </w:tr>
      <w:tr w:rsidR="00B63B03"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center"/>
              <w:rPr>
                <w:rFonts w:ascii="Times New Roman" w:hAnsi="Times New Roman"/>
                <w:sz w:val="28"/>
                <w:szCs w:val="28"/>
              </w:rPr>
            </w:pPr>
            <w:r w:rsidRPr="0015655E">
              <w:rPr>
                <w:rFonts w:ascii="Times New Roman" w:hAnsi="Times New Roman"/>
                <w:b/>
                <w:bCs/>
                <w:sz w:val="28"/>
                <w:szCs w:val="28"/>
              </w:rPr>
              <w:lastRenderedPageBreak/>
              <w:t xml:space="preserve">4. ИНФОРМАЦИЯ О ПРЕДЛАГАЕМЫХ/ДОПУЩЕННЫХ К ТОРГАМ ЦЕННЫХ БУМАГАХ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Описание характера и категории предлагаемых и допущенных к торгам ценных бумаг и идентификационный код ценных бумаг ISIN (международный идентификационный номер ценных бумаг).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Законодательство, на основании которого выпускаются ценные бумаги.</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Указать форму выпуска ценных бумаг (</w:t>
            </w:r>
            <w:proofErr w:type="gramStart"/>
            <w:r w:rsidRPr="0015655E">
              <w:rPr>
                <w:rFonts w:ascii="Times New Roman" w:hAnsi="Times New Roman"/>
                <w:sz w:val="28"/>
                <w:szCs w:val="28"/>
              </w:rPr>
              <w:t>дематериализованные</w:t>
            </w:r>
            <w:proofErr w:type="gramEnd"/>
            <w:r w:rsidRPr="0015655E">
              <w:rPr>
                <w:rFonts w:ascii="Times New Roman" w:hAnsi="Times New Roman"/>
                <w:sz w:val="28"/>
                <w:szCs w:val="28"/>
              </w:rPr>
              <w:t xml:space="preserve">). Указать наименование и адрес общества, обеспечивающего ведение реестра акционеров эмитента.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Валюта, в которой осуществляется эмиссия.</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5)</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Классификация предлагаемых и допущенных к торгам ценных бумаг, включая резюме любого условия, следствием которого является оказание влияния на классификацию или подчинение данных ценных бумаг другому любому текущему или будущему обязательству эмитента.</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6)</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Описание прав, связанных с ценными бумагами, в том числе любого применяемого к ним ограничения, и способов исполнения данных прав, условия конвертации.</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7)</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Номинальная процентная ставка и распоряжения по причитающимся процентам:</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a) дата, на которую рассчитываются проценты, и дата срока платежа по процентам;</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b) срок исковой давности процентов и капитала. В случае, когда процентная ставка не является установленной, описать соответствующие элементы, на основании которых она рассчитывается, а также метод, используемый для установления связи между ними; указать </w:t>
            </w:r>
            <w:proofErr w:type="gramStart"/>
            <w:r w:rsidRPr="0015655E">
              <w:rPr>
                <w:rFonts w:ascii="Times New Roman" w:hAnsi="Times New Roman"/>
                <w:sz w:val="28"/>
                <w:szCs w:val="28"/>
              </w:rPr>
              <w:t>источники</w:t>
            </w:r>
            <w:proofErr w:type="gramEnd"/>
            <w:r w:rsidRPr="0015655E">
              <w:rPr>
                <w:rFonts w:ascii="Times New Roman" w:hAnsi="Times New Roman"/>
                <w:sz w:val="28"/>
                <w:szCs w:val="28"/>
              </w:rPr>
              <w:t xml:space="preserve"> откуда можно получить информацию о прошлых и будущих качествах соответствующих элементов и их волатильности;</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c) описание любой пертурбации рынка или процедур регулирования, </w:t>
            </w:r>
            <w:proofErr w:type="gramStart"/>
            <w:r w:rsidRPr="0015655E">
              <w:rPr>
                <w:rFonts w:ascii="Times New Roman" w:hAnsi="Times New Roman"/>
                <w:sz w:val="28"/>
                <w:szCs w:val="28"/>
              </w:rPr>
              <w:t>которая</w:t>
            </w:r>
            <w:proofErr w:type="gramEnd"/>
            <w:r w:rsidRPr="0015655E">
              <w:rPr>
                <w:rFonts w:ascii="Times New Roman" w:hAnsi="Times New Roman"/>
                <w:sz w:val="28"/>
                <w:szCs w:val="28"/>
              </w:rPr>
              <w:t xml:space="preserve"> могла бы повлиять на соответствующие элементы;</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d) описание корректировочных норм, применяемых в случае события, влияющего на соответствующие элементы;</w:t>
            </w:r>
          </w:p>
          <w:p w:rsidR="00B63B03" w:rsidRPr="0015655E" w:rsidRDefault="00B63B03" w:rsidP="00B24149">
            <w:pPr>
              <w:pStyle w:val="NoSpacing"/>
              <w:widowControl w:val="0"/>
              <w:autoSpaceDE w:val="0"/>
              <w:autoSpaceDN w:val="0"/>
              <w:adjustRightInd w:val="0"/>
              <w:ind w:right="141"/>
              <w:jc w:val="both"/>
              <w:rPr>
                <w:rFonts w:ascii="Times New Roman" w:hAnsi="Times New Roman"/>
                <w:vanish/>
                <w:sz w:val="28"/>
                <w:szCs w:val="28"/>
              </w:rPr>
            </w:pPr>
            <w:r w:rsidRPr="0015655E">
              <w:rPr>
                <w:rFonts w:ascii="Times New Roman" w:hAnsi="Times New Roman"/>
                <w:sz w:val="28"/>
                <w:szCs w:val="28"/>
              </w:rPr>
              <w:t>e) фамилия лица, от которого можно получить точные разъяснения относительно способа расчета. В случае, когда выплата процентов от стоимости выпуска соотносится с производным инструментом (несколькими производными инструментами), представить точные и исчерпывающие разъяснения, которые позволили бы инвесторам понять каким образом на стоимость их инвестиции влияет стоимость соответствующег</w:t>
            </w:r>
            <w:proofErr w:type="gramStart"/>
            <w:r w:rsidRPr="0015655E">
              <w:rPr>
                <w:rFonts w:ascii="Times New Roman" w:hAnsi="Times New Roman"/>
                <w:sz w:val="28"/>
                <w:szCs w:val="28"/>
              </w:rPr>
              <w:t>о(</w:t>
            </w:r>
            <w:proofErr w:type="gramEnd"/>
            <w:r w:rsidRPr="0015655E">
              <w:rPr>
                <w:rFonts w:ascii="Times New Roman" w:hAnsi="Times New Roman"/>
                <w:sz w:val="28"/>
                <w:szCs w:val="28"/>
              </w:rPr>
              <w:t>их) инструмента(</w:t>
            </w:r>
            <w:proofErr w:type="spellStart"/>
            <w:r w:rsidRPr="0015655E">
              <w:rPr>
                <w:rFonts w:ascii="Times New Roman" w:hAnsi="Times New Roman"/>
                <w:sz w:val="28"/>
                <w:szCs w:val="28"/>
              </w:rPr>
              <w:t>ов</w:t>
            </w:r>
            <w:proofErr w:type="spellEnd"/>
            <w:r w:rsidRPr="0015655E">
              <w:rPr>
                <w:rFonts w:ascii="Times New Roman" w:hAnsi="Times New Roman"/>
                <w:sz w:val="28"/>
                <w:szCs w:val="28"/>
              </w:rPr>
              <w:t>), в особенности в случае, когда риски являются очевидными.</w:t>
            </w:r>
          </w:p>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8)</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Дата срока платежа и описание способов погашения займа, в том числе </w:t>
            </w:r>
            <w:r w:rsidRPr="0015655E">
              <w:rPr>
                <w:rFonts w:ascii="Times New Roman" w:hAnsi="Times New Roman"/>
                <w:sz w:val="28"/>
                <w:szCs w:val="28"/>
              </w:rPr>
              <w:lastRenderedPageBreak/>
              <w:t>процедур возмещения. Описание условий и способов досрочного погашения, по инициативе эмитента или владельца.</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lastRenderedPageBreak/>
              <w:t>9)</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b/>
                <w:sz w:val="28"/>
                <w:szCs w:val="28"/>
                <w:u w:val="single"/>
              </w:rPr>
            </w:pPr>
            <w:r w:rsidRPr="0015655E">
              <w:rPr>
                <w:rFonts w:ascii="Times New Roman" w:hAnsi="Times New Roman"/>
                <w:b/>
                <w:sz w:val="28"/>
                <w:szCs w:val="28"/>
                <w:u w:val="single"/>
              </w:rPr>
              <w:t>Доходность</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Краткое описание способа расчета доходности.</w:t>
            </w:r>
          </w:p>
        </w:tc>
      </w:tr>
      <w:tr w:rsidR="00B63B03" w:rsidRPr="0015655E" w:rsidTr="00B24149">
        <w:trPr>
          <w:trHeight w:val="744"/>
        </w:trPr>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b/>
                <w:bCs/>
                <w:sz w:val="28"/>
                <w:szCs w:val="28"/>
              </w:rPr>
              <w:t>10)</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Способы представления владельцев облигаций, в том числе организация, которая представляет инвесторов, и применяемые в ходе представления распоряжения. Места, где общественность может иметь доступ к текстам договоров о данных способах представления.</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b/>
                <w:bCs/>
                <w:sz w:val="28"/>
                <w:szCs w:val="28"/>
              </w:rPr>
              <w:t>11)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Декларация, содержащая постановления, разрешения и утверждения, на основании которых были или будут выпускаться ценные бумаги.</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b/>
                <w:bCs/>
                <w:sz w:val="28"/>
                <w:szCs w:val="28"/>
              </w:rPr>
              <w:t>12)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Дата, предусмотренная для данной эмиссии.</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b/>
                <w:bCs/>
                <w:sz w:val="28"/>
                <w:szCs w:val="28"/>
              </w:rPr>
              <w:t>13)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Описание всех ограничений на свободную передачу ценных бумаг.</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b/>
                <w:bCs/>
                <w:sz w:val="28"/>
                <w:szCs w:val="28"/>
              </w:rPr>
              <w:t>14)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 xml:space="preserve">Для эмитента ценных бумаг: </w:t>
            </w:r>
          </w:p>
          <w:p w:rsidR="00B63B03" w:rsidRPr="0015655E" w:rsidRDefault="00B63B03" w:rsidP="00B24149">
            <w:pPr>
              <w:pStyle w:val="NoSpacing"/>
              <w:widowControl w:val="0"/>
              <w:autoSpaceDE w:val="0"/>
              <w:autoSpaceDN w:val="0"/>
              <w:adjustRightInd w:val="0"/>
              <w:ind w:right="144"/>
              <w:jc w:val="both"/>
              <w:rPr>
                <w:rFonts w:ascii="Times New Roman" w:hAnsi="Times New Roman"/>
                <w:sz w:val="28"/>
                <w:szCs w:val="28"/>
              </w:rPr>
            </w:pPr>
            <w:r w:rsidRPr="0015655E">
              <w:rPr>
                <w:rFonts w:ascii="Times New Roman" w:hAnsi="Times New Roman"/>
                <w:sz w:val="28"/>
                <w:szCs w:val="28"/>
              </w:rPr>
              <w:t>a) информация о любом удержан</w:t>
            </w:r>
            <w:proofErr w:type="gramStart"/>
            <w:r w:rsidRPr="0015655E">
              <w:rPr>
                <w:rFonts w:ascii="Times New Roman" w:hAnsi="Times New Roman"/>
                <w:sz w:val="28"/>
                <w:szCs w:val="28"/>
              </w:rPr>
              <w:t>ии у и</w:t>
            </w:r>
            <w:proofErr w:type="gramEnd"/>
            <w:r w:rsidRPr="0015655E">
              <w:rPr>
                <w:rFonts w:ascii="Times New Roman" w:hAnsi="Times New Roman"/>
                <w:sz w:val="28"/>
                <w:szCs w:val="28"/>
              </w:rPr>
              <w:t>сточника, применяемом к доходам по ценным бумагам;</w:t>
            </w:r>
          </w:p>
          <w:p w:rsidR="00B63B03" w:rsidRPr="0015655E" w:rsidRDefault="00B63B03" w:rsidP="00B24149">
            <w:pPr>
              <w:pStyle w:val="NoSpacing"/>
              <w:widowControl w:val="0"/>
              <w:autoSpaceDE w:val="0"/>
              <w:autoSpaceDN w:val="0"/>
              <w:adjustRightInd w:val="0"/>
              <w:ind w:right="144"/>
              <w:jc w:val="both"/>
              <w:rPr>
                <w:rFonts w:ascii="Times New Roman" w:hAnsi="Times New Roman"/>
                <w:vanish/>
                <w:sz w:val="28"/>
                <w:szCs w:val="28"/>
              </w:rPr>
            </w:pPr>
            <w:r w:rsidRPr="0015655E">
              <w:rPr>
                <w:rFonts w:ascii="Times New Roman" w:hAnsi="Times New Roman"/>
                <w:sz w:val="28"/>
                <w:szCs w:val="28"/>
              </w:rPr>
              <w:t xml:space="preserve">b) указания о принятии или </w:t>
            </w:r>
            <w:proofErr w:type="gramStart"/>
            <w:r w:rsidRPr="0015655E">
              <w:rPr>
                <w:rFonts w:ascii="Times New Roman" w:hAnsi="Times New Roman"/>
                <w:sz w:val="28"/>
                <w:szCs w:val="28"/>
              </w:rPr>
              <w:t>не принятии</w:t>
            </w:r>
            <w:proofErr w:type="gramEnd"/>
            <w:r w:rsidRPr="0015655E">
              <w:rPr>
                <w:rFonts w:ascii="Times New Roman" w:hAnsi="Times New Roman"/>
                <w:sz w:val="28"/>
                <w:szCs w:val="28"/>
              </w:rPr>
              <w:t xml:space="preserve"> эмитентом ответственности за удержание у источника.</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p>
        </w:tc>
      </w:tr>
      <w:tr w:rsidR="00B63B03"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center"/>
              <w:rPr>
                <w:rFonts w:ascii="Times New Roman" w:hAnsi="Times New Roman"/>
                <w:sz w:val="28"/>
                <w:szCs w:val="28"/>
              </w:rPr>
            </w:pPr>
            <w:r w:rsidRPr="0015655E">
              <w:rPr>
                <w:rFonts w:ascii="Times New Roman" w:hAnsi="Times New Roman"/>
                <w:b/>
                <w:bCs/>
                <w:sz w:val="28"/>
                <w:szCs w:val="28"/>
              </w:rPr>
              <w:t xml:space="preserve">5. УСЛОВИЯ ПРЕДЛОЖЕНИЯ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u w:val="single"/>
              </w:rPr>
            </w:pPr>
            <w:r w:rsidRPr="0015655E">
              <w:rPr>
                <w:rFonts w:ascii="Times New Roman" w:hAnsi="Times New Roman"/>
                <w:b/>
                <w:bCs/>
                <w:sz w:val="28"/>
                <w:szCs w:val="28"/>
                <w:u w:val="single"/>
              </w:rPr>
              <w:t xml:space="preserve">Условия предложения, статистика предложения, временный календарь и способы запрашивания подписки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a)</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Представление условий, регулирующих предложение.</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b)</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Общая стоимость эмиссии/предложения. Если общая стоимость не установлена – описание способов и срока публичного объявления окончательной стоимости.</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c)</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Срок действия предложения, в том числе любое возможное изменение, и описание процедуры подписки.</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d)</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Описание любой возможности уменьшения подписки и способа возмещения излишних сумм, уплаченных подписчиками.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e)</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Минимальный и максимальный объем одной подписки (выраженный количеством ценных бумаг или общей стоимостью инвестиции).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f)</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Способ и предельные сроки для оплаты и передачи ценных бумаг.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g)</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Полное описание способов опубликования результатов предложения и дата опубликования.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h)</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Описание процедуры исполнения любого преимущественного права на подписку, возможности передачи прав на подписку и режима, применяемого по отношению к неисполненным правам на подписку.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u w:val="single"/>
              </w:rPr>
            </w:pPr>
            <w:r w:rsidRPr="0015655E">
              <w:rPr>
                <w:rFonts w:ascii="Times New Roman" w:hAnsi="Times New Roman"/>
                <w:b/>
                <w:bCs/>
                <w:sz w:val="28"/>
                <w:szCs w:val="28"/>
                <w:u w:val="single"/>
              </w:rPr>
              <w:t xml:space="preserve">План распределения и предоставления ценных бумаг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a)</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Различные категории потенциальных инвесторов, которым предоставляются ценные бумаги. Если предложение осуществляется одновременно на разных рынках и если один транш был или является </w:t>
            </w:r>
            <w:r w:rsidRPr="0015655E">
              <w:rPr>
                <w:rFonts w:ascii="Times New Roman" w:hAnsi="Times New Roman"/>
                <w:sz w:val="28"/>
                <w:szCs w:val="28"/>
              </w:rPr>
              <w:lastRenderedPageBreak/>
              <w:t>зарезервированным для определенных рынков, указать данный транш.</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lastRenderedPageBreak/>
              <w:t>b)</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Процедура уведомления подписчиков о распределенном объеме ценных бумаг и информация о возможности начала торгов до получения уведомления. </w:t>
            </w:r>
          </w:p>
        </w:tc>
      </w:tr>
      <w:tr w:rsidR="00B63B03" w:rsidRPr="0015655E" w:rsidTr="00B24149">
        <w:trPr>
          <w:trHeight w:val="738"/>
        </w:trPr>
        <w:tc>
          <w:tcPr>
            <w:tcW w:w="309"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3)</w:t>
            </w:r>
          </w:p>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p>
        </w:tc>
        <w:tc>
          <w:tcPr>
            <w:tcW w:w="4691"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u w:val="single"/>
              </w:rPr>
            </w:pPr>
            <w:r w:rsidRPr="0015655E">
              <w:rPr>
                <w:rFonts w:ascii="Times New Roman" w:hAnsi="Times New Roman"/>
                <w:b/>
                <w:bCs/>
                <w:sz w:val="28"/>
                <w:szCs w:val="28"/>
                <w:u w:val="single"/>
              </w:rPr>
              <w:t xml:space="preserve">Установление цены </w:t>
            </w:r>
          </w:p>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u w:val="single"/>
              </w:rPr>
            </w:pPr>
            <w:r w:rsidRPr="0015655E">
              <w:rPr>
                <w:rFonts w:ascii="Times New Roman" w:hAnsi="Times New Roman"/>
                <w:sz w:val="28"/>
                <w:szCs w:val="28"/>
              </w:rPr>
              <w:t>Прогнозная цена, по которой будут предлагаться ценные бумаги или метод установления и процедура опубликования цены. Размер расходов или сборов, запрашиваемых от подписчиков или покупателей.</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u w:val="single"/>
              </w:rPr>
            </w:pPr>
            <w:r w:rsidRPr="0015655E">
              <w:rPr>
                <w:rFonts w:ascii="Times New Roman" w:hAnsi="Times New Roman"/>
                <w:b/>
                <w:bCs/>
                <w:sz w:val="28"/>
                <w:szCs w:val="28"/>
                <w:u w:val="single"/>
              </w:rPr>
              <w:t xml:space="preserve">Размещение и подписка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a)</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Фамилия и адрес координаторов, посредников предложения в целом и отдельных сторон предложения, а также фамилия и адрес посредников из третьих стран, в которых осуществляется предложение.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b)</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Наименование и адрес Фондовой биржи, Центрального депозитария и всех вовлеченных в предложение инвестиционных обществ.</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c)</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Наименование и адрес обществ, которые взяли на себя обязательство подписаться на эмиссию, и тех, которые взяли на себя обязательство размещать ценные бумаги без твердой подписки или на основании инвестиционного соглашения по самой лучшей цене. Указать главные характеристики заключенных соглашений, включая доли. Если твердая подписка не относится ко всей эмиссии, указать долю участия, которая не была подписана. Указать общий размер комиссионных за инвестирование и комиссионных за гарантию (для твердой подписки).</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Cs/>
                <w:sz w:val="28"/>
                <w:szCs w:val="28"/>
              </w:rPr>
              <w:t>d)</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Момент, когда соглашение о твердой подписке было или будет выполнено. </w:t>
            </w:r>
          </w:p>
        </w:tc>
      </w:tr>
      <w:tr w:rsidR="00B63B03"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center"/>
              <w:rPr>
                <w:rFonts w:ascii="Times New Roman" w:hAnsi="Times New Roman"/>
                <w:sz w:val="28"/>
                <w:szCs w:val="28"/>
              </w:rPr>
            </w:pPr>
            <w:r w:rsidRPr="0015655E">
              <w:rPr>
                <w:rFonts w:ascii="Times New Roman" w:hAnsi="Times New Roman"/>
                <w:b/>
                <w:bCs/>
                <w:sz w:val="28"/>
                <w:szCs w:val="28"/>
              </w:rPr>
              <w:t xml:space="preserve">6. ДОПУЩЕНИЕ К ТОРГАМ И СПОСОБЫ СОВЕРШЕНИЯ СДЕЛОК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Указать если предоставляемые ценные бумаги составляют или составят предмет запроса на допущение к торгам в целях их распределения на регулируемом рынке. Указать самые последние данные, по которым ценные бумаги будут допущены к торгам, если они известны.</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Указать все регулируемые рынки на которых, по сведениям эмитента, уже торгуются ценные </w:t>
            </w:r>
            <w:proofErr w:type="gramStart"/>
            <w:r w:rsidRPr="0015655E">
              <w:rPr>
                <w:rFonts w:ascii="Times New Roman" w:hAnsi="Times New Roman"/>
                <w:sz w:val="28"/>
                <w:szCs w:val="28"/>
              </w:rPr>
              <w:t>бумаги</w:t>
            </w:r>
            <w:proofErr w:type="gramEnd"/>
            <w:r w:rsidRPr="0015655E">
              <w:rPr>
                <w:rFonts w:ascii="Times New Roman" w:hAnsi="Times New Roman"/>
                <w:sz w:val="28"/>
                <w:szCs w:val="28"/>
              </w:rPr>
              <w:t xml:space="preserve"> принадлежащие к категории, к которой относятся и ценные бумаги которые будут предложены или допущены к торгам.</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Наименование и адрес обществ, которые взяли на себя твердое обязательство осуществлять деятельность в качестве посредников на вторичных рынках и гарантировать их ликвидность посредством котировок на продажу и приобретение; описание главных характеристик данного обязательства.</w:t>
            </w:r>
          </w:p>
        </w:tc>
      </w:tr>
      <w:tr w:rsidR="00B63B03"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center"/>
              <w:rPr>
                <w:rFonts w:ascii="Times New Roman" w:hAnsi="Times New Roman"/>
                <w:sz w:val="28"/>
                <w:szCs w:val="28"/>
              </w:rPr>
            </w:pPr>
            <w:r w:rsidRPr="0015655E">
              <w:rPr>
                <w:rFonts w:ascii="Times New Roman" w:hAnsi="Times New Roman"/>
                <w:b/>
                <w:bCs/>
                <w:sz w:val="28"/>
                <w:szCs w:val="28"/>
              </w:rPr>
              <w:t xml:space="preserve">7. ДОПОЛНИТЕЛЬНАЯ ИНФОРМАЦИЯ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Если в примечаниях указаны связанные с предложением советники – </w:t>
            </w:r>
            <w:proofErr w:type="gramStart"/>
            <w:r w:rsidRPr="0015655E">
              <w:rPr>
                <w:rFonts w:ascii="Times New Roman" w:hAnsi="Times New Roman"/>
                <w:sz w:val="28"/>
                <w:szCs w:val="28"/>
              </w:rPr>
              <w:t>декларация, подтверждающая в каком качестве они осуществляли</w:t>
            </w:r>
            <w:proofErr w:type="gramEnd"/>
            <w:r w:rsidRPr="0015655E">
              <w:rPr>
                <w:rFonts w:ascii="Times New Roman" w:hAnsi="Times New Roman"/>
                <w:sz w:val="28"/>
                <w:szCs w:val="28"/>
              </w:rPr>
              <w:t xml:space="preserve"> </w:t>
            </w:r>
            <w:r w:rsidRPr="0015655E">
              <w:rPr>
                <w:rFonts w:ascii="Times New Roman" w:hAnsi="Times New Roman"/>
                <w:sz w:val="28"/>
                <w:szCs w:val="28"/>
              </w:rPr>
              <w:lastRenderedPageBreak/>
              <w:t xml:space="preserve">деятельность.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lastRenderedPageBreak/>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 xml:space="preserve">Указать какие другие сведения из примечаний были проверены или рассмотрены аудиторами и если они составили отчет. Представить отчет в полном объеме. </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r w:rsidRPr="0015655E">
              <w:rPr>
                <w:rFonts w:ascii="Times New Roman" w:hAnsi="Times New Roman"/>
                <w:sz w:val="28"/>
                <w:szCs w:val="28"/>
              </w:rPr>
              <w:t>В случае если примечания содержат декларацию или отчет присваиваемые лицу, действующему в качестве эксперта, указать фамилию, рабочий адрес и квалификацию данного лица и, в зависимости от случая, любые существенные инт</w:t>
            </w:r>
            <w:r>
              <w:rPr>
                <w:rFonts w:ascii="Times New Roman" w:hAnsi="Times New Roman"/>
                <w:sz w:val="28"/>
                <w:szCs w:val="28"/>
              </w:rPr>
              <w:t>е</w:t>
            </w:r>
            <w:r w:rsidRPr="0015655E">
              <w:rPr>
                <w:rFonts w:ascii="Times New Roman" w:hAnsi="Times New Roman"/>
                <w:sz w:val="28"/>
                <w:szCs w:val="28"/>
              </w:rPr>
              <w:t xml:space="preserve">ресы данного лица относительно эмитента. Если отчет или декларация были составлены по заявлению эмитента, прилагается </w:t>
            </w:r>
            <w:proofErr w:type="gramStart"/>
            <w:r w:rsidRPr="0015655E">
              <w:rPr>
                <w:rFonts w:ascii="Times New Roman" w:hAnsi="Times New Roman"/>
                <w:sz w:val="28"/>
                <w:szCs w:val="28"/>
              </w:rPr>
              <w:t>декларация, подтверждающая что эти документы были</w:t>
            </w:r>
            <w:proofErr w:type="gramEnd"/>
            <w:r w:rsidRPr="0015655E">
              <w:rPr>
                <w:rFonts w:ascii="Times New Roman" w:hAnsi="Times New Roman"/>
                <w:sz w:val="28"/>
                <w:szCs w:val="28"/>
              </w:rPr>
              <w:t xml:space="preserve"> включены, в соответствующей форме и в определенном контексте, с согласия лица, удостоверившего содержание данной части примечаний о ценных бумагах.</w:t>
            </w:r>
          </w:p>
        </w:tc>
      </w:tr>
      <w:tr w:rsidR="00B63B03" w:rsidRPr="0015655E" w:rsidTr="00B24149">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left="142" w:right="141"/>
              <w:jc w:val="both"/>
              <w:rPr>
                <w:rFonts w:ascii="Times New Roman" w:hAnsi="Times New Roman"/>
                <w:sz w:val="28"/>
                <w:szCs w:val="28"/>
              </w:rPr>
            </w:pPr>
            <w:r w:rsidRPr="0015655E">
              <w:rPr>
                <w:rFonts w:ascii="Times New Roman" w:hAnsi="Times New Roman"/>
                <w:b/>
                <w:bCs/>
                <w:sz w:val="28"/>
                <w:szCs w:val="28"/>
              </w:rPr>
              <w:t>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B63B03" w:rsidRPr="0015655E" w:rsidRDefault="00B63B03" w:rsidP="00B24149">
            <w:pPr>
              <w:pStyle w:val="NoSpacing"/>
              <w:widowControl w:val="0"/>
              <w:autoSpaceDE w:val="0"/>
              <w:autoSpaceDN w:val="0"/>
              <w:adjustRightInd w:val="0"/>
              <w:ind w:right="141"/>
              <w:jc w:val="both"/>
              <w:rPr>
                <w:rFonts w:ascii="Times New Roman" w:hAnsi="Times New Roman"/>
                <w:sz w:val="28"/>
                <w:szCs w:val="28"/>
              </w:rPr>
            </w:pPr>
            <w:proofErr w:type="gramStart"/>
            <w:r w:rsidRPr="0015655E">
              <w:rPr>
                <w:rFonts w:ascii="Times New Roman" w:hAnsi="Times New Roman"/>
                <w:sz w:val="28"/>
                <w:szCs w:val="28"/>
              </w:rPr>
              <w:t>В случае поступления информации от третьего лица, предоставляется подтверждение того, что данная информация была воспроизведена с аккуратностью и что, по сведениям эмитента и в зависимости от того что он в состоянии подтвердить, принимая во внимание сведения, опубликованные соответствующей третьей стороной, не умалчиваются факты, которые сделали бы воспроизведенную информацию ложной или вводящей в заблуждение.</w:t>
            </w:r>
            <w:proofErr w:type="gramEnd"/>
            <w:r w:rsidRPr="0015655E">
              <w:rPr>
                <w:rFonts w:ascii="Times New Roman" w:hAnsi="Times New Roman"/>
                <w:sz w:val="28"/>
                <w:szCs w:val="28"/>
              </w:rPr>
              <w:t xml:space="preserve"> Указать, также, источник (источники) данной информации.</w:t>
            </w:r>
          </w:p>
        </w:tc>
      </w:tr>
    </w:tbl>
    <w:p w:rsidR="00B63B03" w:rsidRDefault="00B63B03">
      <w:bookmarkStart w:id="0" w:name="_GoBack"/>
      <w:bookmarkEnd w:id="0"/>
    </w:p>
    <w:sectPr w:rsidR="00B63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03"/>
    <w:rsid w:val="00B6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03"/>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3B03"/>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B63B03"/>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03"/>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3B03"/>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B63B0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2018-05-29T06:26:00Z</dcterms:created>
  <dcterms:modified xsi:type="dcterms:W3CDTF">2018-05-29T06:27:00Z</dcterms:modified>
</cp:coreProperties>
</file>